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43" w:rsidRPr="00C07443" w:rsidRDefault="00C07443" w:rsidP="00C07443">
      <w:pPr>
        <w:rPr>
          <w:rFonts w:ascii="Times New Roman" w:hAnsi="Times New Roman" w:cs="Times New Roman"/>
          <w:noProof/>
        </w:rPr>
      </w:pPr>
      <w:r w:rsidRPr="00C07443">
        <w:rPr>
          <w:rFonts w:ascii="Times New Roman" w:hAnsi="Times New Roman" w:cs="Times New Roman"/>
          <w:noProof/>
        </w:rPr>
        <w:t>Срок проведения антикоррупционной зкспертизы – 3 дня</w:t>
      </w:r>
    </w:p>
    <w:p w:rsidR="00C07443" w:rsidRPr="00C07443" w:rsidRDefault="00C07443" w:rsidP="00C07443">
      <w:pPr>
        <w:ind w:firstLine="708"/>
        <w:rPr>
          <w:rFonts w:ascii="Times New Roman" w:hAnsi="Times New Roman" w:cs="Times New Roman"/>
          <w:noProof/>
        </w:rPr>
      </w:pPr>
    </w:p>
    <w:p w:rsidR="00C07443" w:rsidRPr="00C07443" w:rsidRDefault="00C07443" w:rsidP="00C0744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07443">
        <w:rPr>
          <w:rFonts w:ascii="Times New Roman" w:hAnsi="Times New Roman" w:cs="Times New Roman"/>
          <w:noProof/>
          <w:sz w:val="24"/>
          <w:szCs w:val="24"/>
        </w:rPr>
        <w:tab/>
      </w:r>
      <w:r w:rsidRPr="00C07443">
        <w:rPr>
          <w:rFonts w:ascii="Times New Roman" w:hAnsi="Times New Roman" w:cs="Times New Roman"/>
          <w:noProof/>
          <w:sz w:val="24"/>
          <w:szCs w:val="24"/>
        </w:rPr>
        <w:tab/>
      </w:r>
      <w:r w:rsidRPr="00C07443">
        <w:rPr>
          <w:rFonts w:ascii="Times New Roman" w:hAnsi="Times New Roman" w:cs="Times New Roman"/>
          <w:noProof/>
          <w:sz w:val="24"/>
          <w:szCs w:val="24"/>
        </w:rPr>
        <w:tab/>
      </w:r>
      <w:r w:rsidRPr="00C07443">
        <w:rPr>
          <w:rFonts w:ascii="Times New Roman" w:hAnsi="Times New Roman" w:cs="Times New Roman"/>
          <w:noProof/>
          <w:sz w:val="24"/>
          <w:szCs w:val="24"/>
        </w:rPr>
        <w:tab/>
      </w:r>
      <w:r w:rsidRPr="00C07443">
        <w:rPr>
          <w:rFonts w:ascii="Times New Roman" w:hAnsi="Times New Roman" w:cs="Times New Roman"/>
          <w:noProof/>
          <w:sz w:val="24"/>
          <w:szCs w:val="24"/>
        </w:rPr>
        <w:tab/>
      </w:r>
      <w:r w:rsidRPr="00C07443">
        <w:rPr>
          <w:rFonts w:ascii="Times New Roman" w:hAnsi="Times New Roman" w:cs="Times New Roman"/>
          <w:noProof/>
          <w:sz w:val="24"/>
          <w:szCs w:val="24"/>
        </w:rPr>
        <w:tab/>
      </w:r>
      <w:r w:rsidRPr="00C07443">
        <w:rPr>
          <w:rFonts w:ascii="Times New Roman" w:hAnsi="Times New Roman" w:cs="Times New Roman"/>
          <w:noProof/>
          <w:sz w:val="24"/>
          <w:szCs w:val="24"/>
        </w:rPr>
        <w:tab/>
      </w:r>
      <w:r w:rsidRPr="00C07443">
        <w:rPr>
          <w:rFonts w:ascii="Times New Roman" w:hAnsi="Times New Roman" w:cs="Times New Roman"/>
          <w:noProof/>
          <w:sz w:val="24"/>
          <w:szCs w:val="24"/>
        </w:rPr>
        <w:tab/>
      </w:r>
      <w:r w:rsidRPr="00C07443">
        <w:rPr>
          <w:rFonts w:ascii="Times New Roman" w:hAnsi="Times New Roman" w:cs="Times New Roman"/>
          <w:noProof/>
          <w:sz w:val="24"/>
          <w:szCs w:val="24"/>
        </w:rPr>
        <w:tab/>
      </w:r>
      <w:r w:rsidRPr="00C07443">
        <w:rPr>
          <w:rFonts w:ascii="Times New Roman" w:hAnsi="Times New Roman" w:cs="Times New Roman"/>
          <w:noProof/>
          <w:sz w:val="24"/>
          <w:szCs w:val="24"/>
        </w:rPr>
        <w:tab/>
      </w:r>
      <w:r w:rsidRPr="00C07443">
        <w:rPr>
          <w:rFonts w:ascii="Times New Roman" w:hAnsi="Times New Roman" w:cs="Times New Roman"/>
          <w:noProof/>
          <w:sz w:val="24"/>
          <w:szCs w:val="24"/>
        </w:rPr>
        <w:tab/>
        <w:t>ПРОЕКТ</w:t>
      </w:r>
    </w:p>
    <w:p w:rsidR="00C07443" w:rsidRDefault="00C07443" w:rsidP="00C07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2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43" w:rsidRDefault="00C07443" w:rsidP="00C074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ИВАНОВСКАЯ ОБЛАСТЬ</w:t>
      </w:r>
    </w:p>
    <w:p w:rsidR="00C07443" w:rsidRDefault="00C07443" w:rsidP="00C074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ЮЖСКИЙ МУНИЦИПАЛЬНЫЙ РАЙОН</w:t>
      </w:r>
    </w:p>
    <w:p w:rsidR="00C07443" w:rsidRDefault="00C07443" w:rsidP="00C074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C07443" w:rsidRDefault="00C07443" w:rsidP="00C07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443" w:rsidRDefault="00C07443" w:rsidP="00C07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7443" w:rsidRDefault="00C07443" w:rsidP="00C07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№___</w:t>
      </w:r>
    </w:p>
    <w:p w:rsidR="00C07443" w:rsidRDefault="00C07443" w:rsidP="00C07443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установлении Порядка определения платы за оказание муниципальными бюджетными учреждениями гражданам и юридическим лицам услуг (выполнения работ), относящихся к основным видам деятельности бюджетного учреждения </w:t>
      </w:r>
    </w:p>
    <w:p w:rsidR="00C07443" w:rsidRDefault="00C07443" w:rsidP="00C07443">
      <w:pPr>
        <w:pStyle w:val="a4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п.1 п.п. 4 ст. 17 Федерального закона от 06.10.2003 № 131-ФЗ «Об общих принципах организации местного самоуправления в Российской Федерации», пунктом 5 статьи 6 Федерального закона от 8 мая 2010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83-ФЗ 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правового положения муниципальных учреждений», руководствуясь Уставом Мугреево-Никольского сельского поселения, ПОСТАНОВЛЯЮ: </w:t>
      </w:r>
    </w:p>
    <w:p w:rsidR="00C07443" w:rsidRDefault="00C07443" w:rsidP="00C074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1.Утвердить и ввести в действие с 01 октября 2011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Порядок определения платы за оказание муниципальными бюджетными учреждениями гражданам и юридическим лицам услуг (выполнения работ), относящихся к основным видам деятельности бюджетного учреждения Мугреево-Никольского сельского поселения, оказываемых им сверх установленного муниципального задания (прилагается).</w:t>
      </w:r>
    </w:p>
    <w:p w:rsidR="00C07443" w:rsidRDefault="00C07443" w:rsidP="00C074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обнародовать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7443" w:rsidRDefault="00C07443" w:rsidP="00C074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7443" w:rsidRDefault="00C07443" w:rsidP="00C07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</w:p>
    <w:p w:rsidR="00C07443" w:rsidRDefault="00C07443" w:rsidP="00C074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М.Г.Скурлакова</w:t>
      </w:r>
    </w:p>
    <w:p w:rsidR="00C07443" w:rsidRDefault="00C07443" w:rsidP="00C074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Приложение</w:t>
      </w:r>
    </w:p>
    <w:p w:rsidR="00C07443" w:rsidRDefault="00C07443" w:rsidP="00C07443">
      <w:pPr>
        <w:pStyle w:val="a4"/>
        <w:spacing w:before="0" w:beforeAutospacing="0" w:after="0" w:afterAutospacing="0"/>
        <w:ind w:left="48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________ №__                                                                                                   </w:t>
      </w:r>
    </w:p>
    <w:p w:rsidR="00C07443" w:rsidRDefault="00C07443" w:rsidP="00C0744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Р Я Д О К</w:t>
      </w:r>
    </w:p>
    <w:p w:rsidR="00C07443" w:rsidRDefault="00C07443" w:rsidP="00C0744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определения платы за оказание муниципальными бюджетными учреждениями гражданам и юридическим лицам услуг (выполнения работ), относящихся к основным видам деятельности бюджетного учреждения Мугреево-Никольского сельского поселения</w:t>
      </w:r>
    </w:p>
    <w:p w:rsidR="00C07443" w:rsidRDefault="00C07443" w:rsidP="00C0744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1.Настоящий Порядок устанавливает правила определения платы для физических и юридических лиц за услуги (работы), относящиеся к основным видам деятельности муниципальных бюджетных учреждений Мугреево-Никольского сельского поселения, оказываемые им сверх установленного муниципального задания.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2.Услуги (работы) оказываются учреждениями за плату, размер которой целиком покрывает издержки учреждения на их оказание.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3.Учреждение самостоятельно определяет возможность оказания услуг (работ) за плату в зависимости от материальной базы, численного состава и квалификации персонала, спроса на услугу (работу).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4.Учреждение формирует перечень услуг (работ), оказываемых за плату, а также размер такой платы и представляет в администрацию района на утверждение.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5.Размер платы определяется на основе расчета экономически обоснованных затрат материальных и трудовых ресурсов (далее - затраты).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6.Учреждение, оказывающее услуги (работы) за плату, обязано своевременно и в доступном месте предоставлять физическим и юридическим лицам необходимую и достоверную информацию о перечне таких услуг (работ) и размере платы за их оказание.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7.Размер платы формируется на основе себестоимости оказания услуги (работы), с учетом спроса на услугу (работу), требований к качеству услуги (работы) в соответствии с показателями муниципального задания, а также с учетом расчетно-нормативных затрат на оказание услуги (работы).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8.Затраты учреждения делятся на затраты, непосредственно связанные с оказанием услуги (работы)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услуги (работы).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9.К затратам, непосредственно связанным с оказанием услуги (работы), относятся: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на персонал, непосредственно участвующий в процессе оказания  услуги (работы) (далее - основной персонал);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материальные запасы, полностью потребляемые в процессе оказания услуги (работы);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затраты (амортизация) оборудования, используемого в процессе оказания услуги (работы);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прочие расходы, отражающие специфику оказания услуги (работы).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К затратам, необходимым для обеспечения деятельности учреждения в целом, но не потребляемым непосредственно в процессе платной услуги (работы) (далее - накладные затраты), относятся: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на персонал учреждения, не участвующего непосредственно в процессе оказания услуги (работы) (далее - административно-управленческий персонал);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на оплату услуг связи, транспортных услуг, коммунальных услуг, обслуживанием, ремонтом объектов недвижимого имущества (далее - затраты общехозяйственного назначения);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на уплату налогов (кроме налогов на фонд оплаты труда), пошлины и иные обязательные платежи;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(амортизация) зданий, сооружений и других основных фондов, непосредственно не связанных с оказанием услуги (работы).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Для расчета затрат на оказание услуги (работы) может быть использован расчетно-аналитический метод или метод прямого счета.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Расчетно-аналитический метод применяется в случаях, когда в оказании услуги (работы) задействованы в равной степени весь основной персонал учреждения и все материальные ресурсы.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использовании расчетно-аналитического метода затраты на оказание услуги (работы) рассчитываются на основе фактических затрат учреждения в предшествующие периоды исходя из расчета средней стоимости единицы времени (человеко-дня, человеко-часа) и количества единиц времени (человеко-дней, человеко-часов), необходимых для оказания услуги (работы).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использовании расчетно-аналитического метода применяется следующая формула: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85900" cy="476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, где: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Зусл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затраты на оказание единицы услуги (работы);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3400" cy="2476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сумма всех затрат учреждения за период времени;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фонд рабочего времени основного персонала учреждения за тот же период времени;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Тусл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- норма рабочего времени, затрачиваемого основным персоналом на оказание услуги (работы).</w:t>
      </w:r>
    </w:p>
    <w:p w:rsidR="00C07443" w:rsidRDefault="00C07443" w:rsidP="00C074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использовании метода прямого счета затраты на оказание услуги (работы) рассчитываются исходя из расчета затрат на оказание услуги (работы) с учетом всех элементов затрат по следующей формуле: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Зусл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Аусл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где: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Зусл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затраты на оказание услуги (работы);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затраты на основной персонал, непосредственно принимающий участие в оказании услуги (работы);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затраты на приобретение материальных запасов, потребляемых в процессе оказания услуги (работы);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Аусл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сумма начисленной амортизации оборудования, используемого при оказании услуги (работы);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накладные затраты, относимые на стоимость услуги (работы).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Затраты на основной персонал включают в себя: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на оплату труда и начисления на выплаты по оплате труда основного персонала;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на командировки основного персонала, связанные с оказанием услуги (работы);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суммы вознаграждения сотрудников, привлекаемых по гражданско-правовым договорам.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Затраты на оплату труда и начисления на выплаты по оплате труда рассчитываются как результат умножения стоимости единицы рабочего времени (например, человеко-дня, человеко-часа) на количество единиц времени, необходимое для оказания услуги (работы), по каждому сотруднику, участвующему в оказании соответствующей услуги (работы), и определяются по формуле: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47775" cy="2476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, где: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затраты на оплату труда и начисления на выплаты по оплате труда основного персонала;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Тусл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норма рабочего времени, затрачиваемого основным персоналом;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затрат на оплату труда персонала, непосредственно участвующего в процессе оказания услуги (работы), приводится по форме согласно </w:t>
      </w:r>
      <w:hyperlink r:id="rId8" w:anchor="sub_1100" w:history="1">
        <w:r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приложению №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 </w:t>
        </w:r>
        <w:r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Порядку.</w:t>
      </w:r>
    </w:p>
    <w:p w:rsidR="00C07443" w:rsidRDefault="00C07443" w:rsidP="00C074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Затраты на приобретение материальных запасов и услуг, полностью потребляемых в процессе оказания услуги (работы), включают в себя (в зависимости от отраслевой специфики):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на мягкий инвентарь;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на приобретение расходных материалов для оргтехники;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затраты на другие материальные запасы.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(работы). Затраты на приобретение материальных запасов определяются по формуле: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57300" cy="3810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, где: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затраты на материальные запасы, потребляемые в процессе оказания услуги (работы);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4800" cy="2762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- материальные запасы определенного вида;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0025" cy="247650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- цена приобретаемых материальных запасов.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затрат на материальные запасы, непосредственно потребляемые в процессе оказания услуги (работы), проводится по форме согласно </w:t>
      </w:r>
      <w:hyperlink r:id="rId12" w:anchor="sub_1200" w:history="1">
        <w:r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приложению №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 </w:t>
        </w:r>
        <w:r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2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Порядку.</w:t>
      </w:r>
    </w:p>
    <w:p w:rsidR="00C07443" w:rsidRDefault="00C07443" w:rsidP="00C074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Сумма начисленной амортизации оборудования, используемого при оказании услуги (работы), определяется исходя из балансовой стоимости оборудования, годовой нормы его износа и времени работы оборудования в процессе оказания услуги (работы).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суммы начисленной амортизации оборудования, используемого при оказании услуги (работы), проводится по форме согласно </w:t>
      </w:r>
      <w:hyperlink r:id="rId13" w:anchor="sub_1300" w:history="1">
        <w:r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приложению №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 </w:t>
        </w:r>
        <w:r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3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Порядку.</w:t>
      </w:r>
    </w:p>
    <w:p w:rsidR="00C07443" w:rsidRDefault="00C07443" w:rsidP="00C074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 Объем накладных затрат относится на стоимость услуги (работы)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услуги (работы), и рассчитывается по следующей формуле: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62000" cy="2286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, где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228600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90675" cy="4953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, где</w:t>
      </w:r>
    </w:p>
    <w:p w:rsidR="00C07443" w:rsidRDefault="00C07443" w:rsidP="00C074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Зауп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Зохн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законодательства Российской Федерации о налогах и сборах;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Аохн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фактические затраты на весь основной персонал учреждения за предшествующий период, исходя из прогнозируемого изменения численности основного персонала и прогнозируемого роста заработной платы.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Затраты на административно-управленческий персонал включают в себя: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на оплату труда и начисления на выплаты по оплате труда административно-управленческого персонала;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нормативные затраты на командировки административно-управленческого персонала;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по повышению квалификации основного и административно-управленческого персонала.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Затраты общехозяйственного назначения включают в себя: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услуги (работы);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затраты на содержание недвижимого и особо ценного движимого имущества, в том числе затраты на охрану (обслуживание тревожных кнопок,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 если аренда необходима для оказания услуги (работы), затраты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уборку помещений, на содержание транспорта,  санитарную обработку помещений.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C07443" w:rsidRDefault="00C07443" w:rsidP="00C0744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накладных затрат проводится по форме согласно </w:t>
      </w:r>
      <w:hyperlink r:id="rId17" w:anchor="sub_1400" w:history="1">
        <w:r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приложению №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 </w:t>
        </w:r>
        <w:r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Порядку.</w:t>
      </w:r>
    </w:p>
    <w:p w:rsidR="00C07443" w:rsidRDefault="00C07443" w:rsidP="00C074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Расчет размера платы проводится по форме согласно </w:t>
      </w:r>
      <w:hyperlink r:id="rId18" w:anchor="sub_1500" w:history="1">
        <w:r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приложению №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 </w:t>
        </w:r>
        <w:r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5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Порядку.</w:t>
      </w:r>
    </w:p>
    <w:p w:rsidR="00C07443" w:rsidRDefault="00C07443" w:rsidP="00C07443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№1к Порядку </w:t>
      </w:r>
    </w:p>
    <w:p w:rsidR="00C07443" w:rsidRDefault="00C07443" w:rsidP="00C074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Расчет затрат на оплату труда персонала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(наименование услуги (работы)</w:t>
      </w:r>
      <w:proofErr w:type="gramEnd"/>
    </w:p>
    <w:p w:rsidR="00C07443" w:rsidRDefault="00C07443" w:rsidP="00C074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43"/>
        <w:gridCol w:w="1877"/>
        <w:gridCol w:w="1576"/>
        <w:gridCol w:w="1702"/>
        <w:gridCol w:w="2552"/>
      </w:tblGrid>
      <w:tr w:rsidR="00C07443" w:rsidTr="00C0744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Месячный фонд рабочего времени (мин.)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 времени на оказание платной услуги (мин.)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Затраты на оплату труда персонала (руб.)</w:t>
            </w:r>
          </w:p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(5)=</w:t>
            </w:r>
            <w:hyperlink r:id="rId19" w:anchor="sub_1101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(2)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20" w:anchor="sub_1101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(3)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hyperlink r:id="rId21" w:anchor="sub_1101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(4)</w:t>
              </w:r>
            </w:hyperlink>
          </w:p>
        </w:tc>
      </w:tr>
      <w:tr w:rsidR="00C07443" w:rsidTr="00C0744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7443" w:rsidTr="00C0744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43" w:rsidTr="00C0744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43" w:rsidTr="00C0744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43" w:rsidTr="00C0744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443" w:rsidRDefault="00C07443" w:rsidP="00C07443">
      <w:pPr>
        <w:pStyle w:val="a4"/>
        <w:jc w:val="right"/>
        <w:rPr>
          <w:rStyle w:val="a5"/>
          <w:color w:val="auto"/>
          <w:sz w:val="28"/>
          <w:szCs w:val="28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№2 </w:t>
      </w: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color w:val="auto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Pr="00C07443" w:rsidRDefault="00C07443" w:rsidP="00C07443">
      <w:pPr>
        <w:pStyle w:val="a4"/>
        <w:jc w:val="center"/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Расчет затрат на материальные запасы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(наименование услуги (работы)</w:t>
      </w:r>
      <w:proofErr w:type="gramEnd"/>
    </w:p>
    <w:p w:rsidR="00C07443" w:rsidRDefault="00C07443" w:rsidP="00C074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54"/>
        <w:gridCol w:w="1583"/>
        <w:gridCol w:w="1837"/>
        <w:gridCol w:w="1424"/>
        <w:gridCol w:w="2552"/>
      </w:tblGrid>
      <w:tr w:rsidR="00C07443" w:rsidTr="00C0744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запасов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единицу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запасов</w:t>
            </w:r>
            <w:proofErr w:type="spellEnd"/>
          </w:p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(5)= </w:t>
            </w:r>
            <w:hyperlink r:id="rId22" w:anchor="sub_1201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(3)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hyperlink r:id="rId23" w:anchor="sub_1201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(4)</w:t>
              </w:r>
            </w:hyperlink>
          </w:p>
        </w:tc>
      </w:tr>
      <w:tr w:rsidR="00C07443" w:rsidTr="00C0744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7443" w:rsidTr="00C0744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43" w:rsidTr="00C0744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43" w:rsidTr="00C0744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43" w:rsidTr="00C0744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443" w:rsidRDefault="00C07443" w:rsidP="00C07443">
      <w:pPr>
        <w:pStyle w:val="a4"/>
        <w:jc w:val="right"/>
        <w:rPr>
          <w:rStyle w:val="a5"/>
          <w:color w:val="auto"/>
          <w:sz w:val="28"/>
          <w:szCs w:val="28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№3</w:t>
      </w:r>
    </w:p>
    <w:p w:rsidR="00C07443" w:rsidRDefault="00C07443" w:rsidP="00C074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Расчет суммы начисленной амортизации оборудования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(наименование услуги (работы)</w:t>
      </w:r>
      <w:proofErr w:type="gramEnd"/>
    </w:p>
    <w:p w:rsidR="00C07443" w:rsidRDefault="00C07443" w:rsidP="00C0744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1384"/>
        <w:gridCol w:w="1134"/>
        <w:gridCol w:w="1702"/>
        <w:gridCol w:w="1702"/>
        <w:gridCol w:w="2127"/>
      </w:tblGrid>
      <w:tr w:rsidR="00C07443" w:rsidTr="00C074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Годовая норма времени работы оборудования (час.)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начисленной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амортизации</w:t>
            </w:r>
            <w:proofErr w:type="spellEnd"/>
          </w:p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(6)=</w:t>
            </w:r>
            <w:hyperlink r:id="rId24" w:anchor="sub_1301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(2)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hyperlink r:id="rId25" w:anchor="sub_1301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(3)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hyperlink r:id="rId26" w:anchor="sub_1301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(4)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27" w:anchor="sub_1301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(5)</w:t>
              </w:r>
            </w:hyperlink>
          </w:p>
        </w:tc>
      </w:tr>
      <w:tr w:rsidR="00C07443" w:rsidTr="00C074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7443" w:rsidTr="00C074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7443" w:rsidTr="00C074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43" w:rsidTr="00C074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43" w:rsidTr="00C074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43" w:rsidTr="00C074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443" w:rsidRDefault="00C07443" w:rsidP="00C074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7443" w:rsidRDefault="00C07443" w:rsidP="00C07443">
      <w:pPr>
        <w:pStyle w:val="a4"/>
        <w:rPr>
          <w:rStyle w:val="a5"/>
          <w:color w:val="auto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№4</w:t>
      </w:r>
    </w:p>
    <w:p w:rsidR="00C07443" w:rsidRDefault="00C07443" w:rsidP="00C07443">
      <w:pPr>
        <w:pStyle w:val="a4"/>
        <w:jc w:val="right"/>
        <w:rPr>
          <w:rStyle w:val="a5"/>
          <w:color w:val="auto"/>
        </w:rPr>
      </w:pPr>
    </w:p>
    <w:p w:rsidR="00C07443" w:rsidRDefault="00C07443" w:rsidP="00C07443">
      <w:pPr>
        <w:pStyle w:val="a4"/>
      </w:pPr>
    </w:p>
    <w:p w:rsidR="00C07443" w:rsidRDefault="00C07443" w:rsidP="00C074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Расчет накладных затрат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(наименование услуги (работы)</w:t>
      </w:r>
      <w:proofErr w:type="gramEnd"/>
    </w:p>
    <w:p w:rsidR="00C07443" w:rsidRDefault="00C07443" w:rsidP="00C0744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4"/>
        <w:gridCol w:w="4534"/>
        <w:gridCol w:w="4399"/>
      </w:tblGrid>
      <w:tr w:rsidR="00C07443" w:rsidTr="00C074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 затрат на административно-управленческий персонал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7443" w:rsidTr="00C074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43" w:rsidTr="00C074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7443" w:rsidTr="00C074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 суммарного фонда оплаты труда основного персонала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7443" w:rsidTr="00C074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накладных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(5)={</w:t>
            </w:r>
            <w:hyperlink r:id="rId28" w:anchor="sub_1401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(1)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hyperlink r:id="rId29" w:anchor="sub_1402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(2)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hyperlink r:id="rId30" w:anchor="sub_1403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(3)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}/</w:t>
            </w:r>
            <w:hyperlink r:id="rId31" w:anchor="sub_1404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(4)</w:t>
              </w:r>
            </w:hyperlink>
          </w:p>
        </w:tc>
      </w:tr>
      <w:tr w:rsidR="00C07443" w:rsidTr="00C074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7443" w:rsidTr="00C074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накладные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(7)=</w:t>
            </w:r>
            <w:hyperlink r:id="rId32" w:anchor="sub_1405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(5)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hyperlink r:id="rId33" w:anchor="sub_1406" w:history="1">
              <w:r>
                <w:rPr>
                  <w:rStyle w:val="a6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(6)</w:t>
              </w:r>
            </w:hyperlink>
          </w:p>
        </w:tc>
      </w:tr>
    </w:tbl>
    <w:p w:rsidR="00C07443" w:rsidRDefault="00C07443" w:rsidP="00C07443">
      <w:pPr>
        <w:pStyle w:val="a4"/>
        <w:rPr>
          <w:rStyle w:val="a5"/>
          <w:color w:val="auto"/>
          <w:sz w:val="28"/>
          <w:szCs w:val="28"/>
        </w:rPr>
      </w:pPr>
    </w:p>
    <w:p w:rsidR="00C07443" w:rsidRDefault="00C07443" w:rsidP="00C07443">
      <w:pPr>
        <w:pStyle w:val="a4"/>
        <w:rPr>
          <w:rStyle w:val="a5"/>
          <w:rFonts w:ascii="Times New Roman" w:hAnsi="Times New Roman" w:cs="Times New Roman"/>
          <w:sz w:val="28"/>
          <w:szCs w:val="28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spacing w:before="0" w:beforeAutospacing="0" w:after="0" w:afterAutospacing="0" w:line="240" w:lineRule="exact"/>
        <w:ind w:left="3600" w:firstLine="708"/>
        <w:jc w:val="right"/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№5</w:t>
      </w:r>
    </w:p>
    <w:p w:rsidR="00C07443" w:rsidRDefault="00C07443" w:rsidP="00C07443">
      <w:pPr>
        <w:pStyle w:val="a4"/>
        <w:jc w:val="right"/>
        <w:rPr>
          <w:rStyle w:val="a5"/>
          <w:color w:val="auto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jc w:val="right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C07443" w:rsidRPr="00C07443" w:rsidRDefault="00C07443" w:rsidP="00C07443">
      <w:pPr>
        <w:pStyle w:val="a4"/>
        <w:jc w:val="center"/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Расчет размера платы на оказание услуги (работы)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(наименование услуги (работы)</w:t>
      </w:r>
      <w:proofErr w:type="gramEnd"/>
    </w:p>
    <w:p w:rsidR="00C07443" w:rsidRDefault="00C07443" w:rsidP="00C074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7087"/>
        <w:gridCol w:w="1608"/>
      </w:tblGrid>
      <w:tr w:rsidR="00C07443" w:rsidTr="00C07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07443" w:rsidTr="00C07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7443" w:rsidTr="00C07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Затраты на оплату труда основного персонала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7443" w:rsidTr="00C07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запасов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43" w:rsidTr="00C07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7443" w:rsidTr="00C07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Накладные затраты, относимые на платную услугу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7443" w:rsidTr="00C07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43" w:rsidTr="00C074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платы за услугу (работу)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3" w:rsidRDefault="00C0744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07443" w:rsidRDefault="00C07443" w:rsidP="00C0744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07443" w:rsidRDefault="00C07443" w:rsidP="00C0744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C07443" w:rsidRDefault="00C07443" w:rsidP="00C07443">
      <w:pPr>
        <w:rPr>
          <w:rFonts w:ascii="Times New Roman" w:hAnsi="Times New Roman" w:cs="Times New Roman"/>
          <w:sz w:val="28"/>
          <w:szCs w:val="28"/>
        </w:rPr>
      </w:pPr>
    </w:p>
    <w:p w:rsidR="00C06D2B" w:rsidRDefault="00C06D2B"/>
    <w:sectPr w:rsidR="00C06D2B" w:rsidSect="00C0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43"/>
    <w:rsid w:val="00C06D2B"/>
    <w:rsid w:val="00C0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Знак Знак Знак"/>
    <w:basedOn w:val="a"/>
    <w:rsid w:val="00C0744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Цветовое выделение"/>
    <w:uiPriority w:val="99"/>
    <w:rsid w:val="00C07443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C07443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C07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7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1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2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1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2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3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2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2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3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5" Type="http://schemas.openxmlformats.org/officeDocument/2006/relationships/image" Target="media/image2.emf"/><Relationship Id="rId15" Type="http://schemas.openxmlformats.org/officeDocument/2006/relationships/image" Target="media/image9.emf"/><Relationship Id="rId2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2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10" Type="http://schemas.openxmlformats.org/officeDocument/2006/relationships/image" Target="media/image6.emf"/><Relationship Id="rId1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3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2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3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82;&#1091;&#1088;&#1083;&#1072;&#1082;&#1086;&#1074;&#1072;\&#1087;&#1086;&#1088;&#1103;&#1076;&#1086;&#1082;%20&#1086;&#1087;&#1088;&#1077;&#1076;&#1077;&#1083;&#1077;&#1085;&#1080;&#1103;%20&#1087;&#1083;&#1072;&#1090;&#1099;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2615</Words>
  <Characters>14907</Characters>
  <Application>Microsoft Office Word</Application>
  <DocSecurity>0</DocSecurity>
  <Lines>124</Lines>
  <Paragraphs>34</Paragraphs>
  <ScaleCrop>false</ScaleCrop>
  <Company>Microsoft</Company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2011-11-16T08:57:00Z</dcterms:created>
  <dcterms:modified xsi:type="dcterms:W3CDTF">2011-11-16T08:59:00Z</dcterms:modified>
</cp:coreProperties>
</file>