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EC" w:rsidRPr="00F155EC" w:rsidRDefault="00D75ED7" w:rsidP="0002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5E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50F77" w:rsidRPr="00F155EC">
        <w:rPr>
          <w:rFonts w:ascii="Times New Roman" w:hAnsi="Times New Roman" w:cs="Times New Roman"/>
          <w:b/>
          <w:sz w:val="28"/>
          <w:szCs w:val="28"/>
          <w:u w:val="single"/>
        </w:rPr>
        <w:t>редоставлени</w:t>
      </w:r>
      <w:r w:rsidRPr="00F155E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F155EC" w:rsidRPr="00F1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F155EC" w:rsidRPr="00F155EC">
        <w:rPr>
          <w:rFonts w:ascii="Times New Roman" w:hAnsi="Times New Roman" w:cs="Times New Roman"/>
          <w:b/>
          <w:sz w:val="28"/>
          <w:szCs w:val="28"/>
          <w:u w:val="single"/>
        </w:rPr>
        <w:t>субсидий</w:t>
      </w:r>
      <w:r w:rsidR="000558A2" w:rsidRPr="00F1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0F77" w:rsidRPr="00F1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55EC" w:rsidRPr="00F155EC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="00F155EC" w:rsidRPr="00F1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реализацию мероприятий по поддержке </w:t>
      </w:r>
      <w:r w:rsidR="00F50F77" w:rsidRPr="00F1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СМСП, </w:t>
      </w:r>
    </w:p>
    <w:p w:rsidR="00F155EC" w:rsidRPr="00F155EC" w:rsidRDefault="00DC679E" w:rsidP="0002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зарегистрированным и/или </w:t>
      </w:r>
      <w:r w:rsidR="00F50F77" w:rsidRPr="00F1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осуществляющим свою деятельность </w:t>
      </w:r>
      <w:r w:rsidR="00F155EC" w:rsidRPr="00F1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</w:p>
    <w:p w:rsidR="000215D9" w:rsidRPr="00F155EC" w:rsidRDefault="00F155EC" w:rsidP="0002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155EC">
        <w:rPr>
          <w:rFonts w:ascii="Times New Roman" w:hAnsi="Times New Roman" w:cs="Times New Roman"/>
          <w:b/>
          <w:sz w:val="28"/>
          <w:szCs w:val="28"/>
          <w:u w:val="single"/>
        </w:rPr>
        <w:t>Южского</w:t>
      </w:r>
      <w:proofErr w:type="spellEnd"/>
      <w:r w:rsidRPr="00F15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городского поселения, занимающихся социально значимыми видами деятельности</w:t>
      </w:r>
      <w:r w:rsidR="00DC679E" w:rsidRPr="00F155E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00177" w:rsidRDefault="00100177" w:rsidP="000215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4394"/>
        <w:gridCol w:w="4820"/>
      </w:tblGrid>
      <w:tr w:rsidR="006F4A43" w:rsidRPr="00811C38" w:rsidTr="00F155EC">
        <w:tc>
          <w:tcPr>
            <w:tcW w:w="2235" w:type="dxa"/>
          </w:tcPr>
          <w:p w:rsidR="00D75ED7" w:rsidRDefault="00D75ED7" w:rsidP="00F155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6F4A43" w:rsidRPr="009011B1" w:rsidRDefault="00D75ED7" w:rsidP="00F1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B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9011B1" w:rsidRPr="00D75ED7" w:rsidRDefault="009011B1" w:rsidP="00F15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1B1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субсидирования</w:t>
            </w:r>
          </w:p>
        </w:tc>
        <w:tc>
          <w:tcPr>
            <w:tcW w:w="4394" w:type="dxa"/>
          </w:tcPr>
          <w:p w:rsidR="006F4A43" w:rsidRPr="009011B1" w:rsidRDefault="006F4A43" w:rsidP="00F1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B1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СМСП, связанных </w:t>
            </w:r>
            <w:r w:rsidRPr="009011B1">
              <w:rPr>
                <w:rFonts w:ascii="Times New Roman" w:hAnsi="Times New Roman" w:cs="Times New Roman"/>
                <w:b/>
                <w:sz w:val="24"/>
                <w:szCs w:val="24"/>
              </w:rPr>
              <w:t>с созданием и (или) развитием центров времяпрепровождения детей</w:t>
            </w:r>
            <w:r w:rsidRPr="009011B1">
              <w:rPr>
                <w:rFonts w:ascii="Times New Roman" w:hAnsi="Times New Roman" w:cs="Times New Roman"/>
                <w:sz w:val="24"/>
                <w:szCs w:val="24"/>
              </w:rPr>
              <w:t xml:space="preserve"> – групп дневного времяпрепровождения детей дошкольного возраста и иных подобных видов деятельности </w:t>
            </w:r>
          </w:p>
        </w:tc>
        <w:tc>
          <w:tcPr>
            <w:tcW w:w="4394" w:type="dxa"/>
          </w:tcPr>
          <w:p w:rsidR="006F4A43" w:rsidRPr="009011B1" w:rsidRDefault="006F4A43" w:rsidP="00F15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B1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СМСП, связанных </w:t>
            </w:r>
            <w:r w:rsidRPr="009011B1">
              <w:rPr>
                <w:rFonts w:ascii="Times New Roman" w:hAnsi="Times New Roman" w:cs="Times New Roman"/>
                <w:b/>
                <w:sz w:val="24"/>
                <w:szCs w:val="24"/>
              </w:rPr>
              <w:t>с созданием и (или) развитием дошкольных образовательных центров</w:t>
            </w:r>
            <w:r w:rsidRPr="009011B1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осуществляющих образовательную деятельность </w:t>
            </w:r>
            <w:r w:rsidRPr="009011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программам дошкольного образования, а также присмотру и уходу </w:t>
            </w:r>
            <w:r w:rsidRPr="009011B1">
              <w:rPr>
                <w:rFonts w:ascii="Times New Roman" w:hAnsi="Times New Roman" w:cs="Times New Roman"/>
                <w:sz w:val="24"/>
                <w:szCs w:val="24"/>
              </w:rPr>
              <w:br/>
              <w:t>за детьми</w:t>
            </w:r>
          </w:p>
        </w:tc>
        <w:tc>
          <w:tcPr>
            <w:tcW w:w="4820" w:type="dxa"/>
            <w:vAlign w:val="center"/>
          </w:tcPr>
          <w:p w:rsidR="006F4A43" w:rsidRPr="009011B1" w:rsidRDefault="006F4A43" w:rsidP="006F4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1B1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</w:t>
            </w:r>
            <w:r w:rsidR="00F15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1B1">
              <w:rPr>
                <w:rFonts w:ascii="Times New Roman" w:hAnsi="Times New Roman" w:cs="Times New Roman"/>
                <w:sz w:val="24"/>
                <w:szCs w:val="24"/>
              </w:rPr>
              <w:t xml:space="preserve">СМСП, осуществляющих </w:t>
            </w:r>
            <w:r w:rsidRPr="009011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ориентированную деятельность</w:t>
            </w:r>
            <w:r w:rsidRPr="009011B1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направленную </w:t>
            </w:r>
            <w:r w:rsidRPr="009011B1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</w:p>
          <w:p w:rsidR="006F4A43" w:rsidRPr="009011B1" w:rsidRDefault="006F4A43" w:rsidP="006F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43" w:rsidRPr="00811C38" w:rsidTr="00267D37">
        <w:tc>
          <w:tcPr>
            <w:tcW w:w="2235" w:type="dxa"/>
          </w:tcPr>
          <w:p w:rsidR="006F4A43" w:rsidRPr="000558A2" w:rsidRDefault="006F4A43" w:rsidP="00F50F7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4A43">
              <w:rPr>
                <w:rFonts w:ascii="Times New Roman" w:hAnsi="Times New Roman" w:cs="Times New Roman"/>
                <w:sz w:val="24"/>
                <w:szCs w:val="24"/>
              </w:rPr>
              <w:t>Максимальный размер субсидии, руб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6F4A43" w:rsidRPr="00B656E8" w:rsidRDefault="00B656E8" w:rsidP="00B656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>не превышает 1,5 млн. рублей на одного получателя поддержки</w:t>
            </w:r>
            <w:r w:rsidRPr="00B656E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6F4A43" w:rsidRPr="00B656E8" w:rsidRDefault="00B656E8" w:rsidP="00B656E8">
            <w:pPr>
              <w:jc w:val="both"/>
              <w:rPr>
                <w:b/>
                <w:sz w:val="24"/>
                <w:szCs w:val="24"/>
              </w:rPr>
            </w:pPr>
            <w:r w:rsidRPr="00B656E8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15 млн. рублей на одного получателя поддержки</w:t>
            </w:r>
          </w:p>
        </w:tc>
        <w:tc>
          <w:tcPr>
            <w:tcW w:w="4820" w:type="dxa"/>
          </w:tcPr>
          <w:p w:rsidR="00D75ED7" w:rsidRPr="00D75ED7" w:rsidRDefault="00D75ED7" w:rsidP="00D7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превышает 1,5 млн. рублей на одного получателя поддержки.</w:t>
            </w:r>
          </w:p>
          <w:p w:rsidR="006F4A43" w:rsidRPr="006F4A43" w:rsidRDefault="006F4A43" w:rsidP="006F4A43">
            <w:pPr>
              <w:jc w:val="center"/>
            </w:pPr>
          </w:p>
        </w:tc>
      </w:tr>
      <w:tr w:rsidR="006F4A43" w:rsidRPr="00811C38" w:rsidTr="00267D37">
        <w:tc>
          <w:tcPr>
            <w:tcW w:w="2235" w:type="dxa"/>
          </w:tcPr>
          <w:p w:rsidR="006F4A43" w:rsidRPr="006F4A43" w:rsidRDefault="006F4A43" w:rsidP="00BE09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A4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</w:t>
            </w:r>
          </w:p>
        </w:tc>
        <w:tc>
          <w:tcPr>
            <w:tcW w:w="4394" w:type="dxa"/>
          </w:tcPr>
          <w:p w:rsidR="006F4A43" w:rsidRPr="00337719" w:rsidRDefault="00D75ED7" w:rsidP="003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4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37719">
              <w:rPr>
                <w:rFonts w:ascii="Times New Roman" w:hAnsi="Times New Roman" w:cs="Times New Roman"/>
                <w:sz w:val="24"/>
                <w:szCs w:val="24"/>
              </w:rPr>
              <w:t>офинансирование</w:t>
            </w:r>
            <w:r w:rsidR="006F4A43" w:rsidRPr="00337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719">
              <w:rPr>
                <w:rFonts w:ascii="Times New Roman" w:hAnsi="Times New Roman" w:cs="Times New Roman"/>
                <w:sz w:val="24"/>
                <w:szCs w:val="24"/>
              </w:rPr>
              <w:t xml:space="preserve">СМСП </w:t>
            </w:r>
            <w:r w:rsidR="006F4A43" w:rsidRPr="00337719">
              <w:rPr>
                <w:rFonts w:ascii="Times New Roman" w:hAnsi="Times New Roman" w:cs="Times New Roman"/>
                <w:sz w:val="24"/>
                <w:szCs w:val="24"/>
              </w:rPr>
              <w:t xml:space="preserve">расходов, связанных с реализацией проекта по созданию и (или) развитию центра времяпрепровождения детей, в размере </w:t>
            </w:r>
            <w:r w:rsidR="006F4A43" w:rsidRPr="00D75ED7"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15 % от размера получаемой</w:t>
            </w:r>
            <w:r w:rsidR="006F4A43" w:rsidRPr="0033771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субсидии.</w:t>
            </w:r>
          </w:p>
          <w:p w:rsidR="00AC44D0" w:rsidRPr="00337719" w:rsidRDefault="00E701D9" w:rsidP="00AC44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A43" w:rsidRPr="000558A2" w:rsidRDefault="006F4A43" w:rsidP="00BE0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656E8" w:rsidRPr="00B656E8" w:rsidRDefault="00B656E8" w:rsidP="00B656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 xml:space="preserve">а условиях </w:t>
            </w:r>
            <w:r w:rsidRPr="00D75ED7">
              <w:rPr>
                <w:rFonts w:ascii="Times New Roman" w:hAnsi="Times New Roman" w:cs="Times New Roman"/>
                <w:b/>
                <w:sz w:val="24"/>
                <w:szCs w:val="24"/>
              </w:rPr>
              <w:t>долевого финансирования</w:t>
            </w:r>
            <w:r w:rsidRPr="00B656E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малого и среднего предпринимательства целевых расходов, связанных с реализацией проекта по созданию дошкольного образовательного центра, из расчета </w:t>
            </w:r>
            <w:r w:rsidRPr="00D75ED7"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50 % произведенных затрат.</w:t>
            </w:r>
            <w:bookmarkStart w:id="1" w:name="Par7"/>
            <w:bookmarkEnd w:id="1"/>
          </w:p>
          <w:p w:rsidR="006F4A43" w:rsidRPr="000558A2" w:rsidRDefault="006F4A43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D75ED7" w:rsidRDefault="00D75ED7" w:rsidP="00D7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офинансирование расходов в размере не менее 15 % от суммы получаемой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1B1" w:rsidRDefault="009011B1" w:rsidP="00D7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также:</w:t>
            </w:r>
          </w:p>
          <w:p w:rsidR="00D75ED7" w:rsidRPr="00D75ED7" w:rsidRDefault="00D75ED7" w:rsidP="00D7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 w:rsidRPr="00D7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СМСП обеспечивает занятость следующих категорий граждан</w:t>
            </w:r>
            <w:r w:rsidRPr="00D75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СМСП</w:t>
            </w:r>
            <w:r w:rsidRPr="00D75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составляет </w:t>
            </w:r>
            <w:r w:rsidRPr="00D7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менее 50 %, а доля в фонде оплаты труда – не менее 25</w:t>
            </w:r>
            <w:r w:rsidRPr="00D75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%:</w:t>
            </w:r>
          </w:p>
          <w:p w:rsidR="00D75ED7" w:rsidRPr="00E6399E" w:rsidRDefault="00D75ED7" w:rsidP="00D75E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E">
              <w:rPr>
                <w:rFonts w:ascii="Times New Roman" w:hAnsi="Times New Roman" w:cs="Times New Roman"/>
                <w:sz w:val="20"/>
                <w:szCs w:val="20"/>
              </w:rPr>
              <w:t>инвалиды и (или) иные лица с ограниченными возможностями здоровья;</w:t>
            </w:r>
          </w:p>
          <w:p w:rsidR="00D75ED7" w:rsidRPr="00E6399E" w:rsidRDefault="00D75ED7" w:rsidP="00D75E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E">
              <w:rPr>
                <w:rFonts w:ascii="Times New Roman" w:hAnsi="Times New Roman" w:cs="Times New Roman"/>
                <w:sz w:val="20"/>
                <w:szCs w:val="20"/>
              </w:rPr>
              <w:t>одинокие и (или) многодетные родители, воспитывающие несовершеннолетних детей, и (или) родители детей-инвалидов;</w:t>
            </w:r>
          </w:p>
          <w:p w:rsidR="00D75ED7" w:rsidRPr="00E6399E" w:rsidRDefault="00D75ED7" w:rsidP="00D75E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пенсионеры и (или) лица </w:t>
            </w:r>
            <w:proofErr w:type="spellStart"/>
            <w:r w:rsidRPr="00E6399E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E6399E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(в течение пяти лет до наступления возраста, дающего право на страховую пенсию по старости, </w:t>
            </w:r>
            <w:r w:rsidRPr="00E6399E">
              <w:rPr>
                <w:rFonts w:ascii="Times New Roman" w:hAnsi="Times New Roman" w:cs="Times New Roman"/>
                <w:sz w:val="20"/>
                <w:szCs w:val="20"/>
              </w:rPr>
              <w:br/>
              <w:t>в том числе назначаемую досрочно);</w:t>
            </w:r>
          </w:p>
          <w:p w:rsidR="00D75ED7" w:rsidRPr="00E6399E" w:rsidRDefault="00D75ED7" w:rsidP="00D75E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E"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выпускники детских домов в возрасте до 23 лет; </w:t>
            </w:r>
          </w:p>
          <w:p w:rsidR="00D75ED7" w:rsidRPr="00E6399E" w:rsidRDefault="00D75ED7" w:rsidP="00D75E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E">
              <w:rPr>
                <w:rFonts w:ascii="Times New Roman" w:hAnsi="Times New Roman" w:cs="Times New Roman"/>
                <w:sz w:val="20"/>
                <w:szCs w:val="20"/>
              </w:rPr>
              <w:t xml:space="preserve">лица, освобожденные из мест лишения свободы и имеющие неснятую </w:t>
            </w:r>
            <w:r w:rsidRPr="00E6399E">
              <w:rPr>
                <w:rFonts w:ascii="Times New Roman" w:hAnsi="Times New Roman" w:cs="Times New Roman"/>
                <w:sz w:val="20"/>
                <w:szCs w:val="20"/>
              </w:rPr>
              <w:br/>
              <w:t>или непогашенную судимость;</w:t>
            </w:r>
          </w:p>
          <w:p w:rsidR="00D75ED7" w:rsidRPr="00E6399E" w:rsidRDefault="00D75ED7" w:rsidP="00D75E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E">
              <w:rPr>
                <w:rFonts w:ascii="Times New Roman" w:hAnsi="Times New Roman" w:cs="Times New Roman"/>
                <w:sz w:val="20"/>
                <w:szCs w:val="20"/>
              </w:rPr>
              <w:t>беженцы и вынужденные переселенцы;</w:t>
            </w:r>
          </w:p>
          <w:p w:rsidR="00D75ED7" w:rsidRPr="00E6399E" w:rsidRDefault="00D75ED7" w:rsidP="00D75E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E">
              <w:rPr>
                <w:rFonts w:ascii="Times New Roman" w:hAnsi="Times New Roman" w:cs="Times New Roman"/>
                <w:sz w:val="20"/>
                <w:szCs w:val="20"/>
              </w:rPr>
              <w:t xml:space="preserve">граждане, подвергшиеся воздействию вследствие чернобыльской </w:t>
            </w:r>
            <w:r w:rsidRPr="00E6399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</w:t>
            </w:r>
            <w:proofErr w:type="gramStart"/>
            <w:r w:rsidRPr="00E6399E">
              <w:rPr>
                <w:rFonts w:ascii="Times New Roman" w:hAnsi="Times New Roman" w:cs="Times New Roman"/>
                <w:sz w:val="20"/>
                <w:szCs w:val="20"/>
              </w:rPr>
              <w:t>других радиационных аварий</w:t>
            </w:r>
            <w:proofErr w:type="gramEnd"/>
            <w:r w:rsidRPr="00E6399E">
              <w:rPr>
                <w:rFonts w:ascii="Times New Roman" w:hAnsi="Times New Roman" w:cs="Times New Roman"/>
                <w:sz w:val="20"/>
                <w:szCs w:val="20"/>
              </w:rPr>
              <w:t xml:space="preserve"> и катастроф;</w:t>
            </w:r>
          </w:p>
          <w:p w:rsidR="00D75ED7" w:rsidRPr="00E6399E" w:rsidRDefault="00D75ED7" w:rsidP="00D75ED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399E">
              <w:rPr>
                <w:rFonts w:ascii="Times New Roman" w:hAnsi="Times New Roman" w:cs="Times New Roman"/>
                <w:sz w:val="20"/>
                <w:szCs w:val="20"/>
              </w:rPr>
      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      </w:r>
          </w:p>
          <w:p w:rsidR="00D75ED7" w:rsidRPr="00D75ED7" w:rsidRDefault="00D75ED7" w:rsidP="00D7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 w:rsidRPr="00D75ED7">
              <w:rPr>
                <w:rFonts w:ascii="Times New Roman" w:hAnsi="Times New Roman" w:cs="Times New Roman"/>
                <w:b/>
                <w:sz w:val="24"/>
                <w:szCs w:val="24"/>
              </w:rPr>
              <w:t>СМСП обеспечивает доступ производимых лицами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указанными в подпункте «а» настоящего пункта, </w:t>
            </w:r>
            <w:r w:rsidRPr="00D75ED7">
              <w:rPr>
                <w:rFonts w:ascii="Times New Roman" w:hAnsi="Times New Roman" w:cs="Times New Roman"/>
                <w:b/>
                <w:sz w:val="24"/>
                <w:szCs w:val="24"/>
              </w:rPr>
              <w:t>товаров (работ, услуг) к рынку сбыта;</w:t>
            </w:r>
          </w:p>
          <w:p w:rsidR="00D75ED7" w:rsidRPr="00D75ED7" w:rsidRDefault="00D75ED7" w:rsidP="00D75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D75ED7">
              <w:rPr>
                <w:rFonts w:ascii="Times New Roman" w:hAnsi="Times New Roman" w:cs="Times New Roman"/>
                <w:b/>
                <w:sz w:val="24"/>
                <w:szCs w:val="24"/>
              </w:rPr>
              <w:t>СМСП осуществляет деятельность, направленную на производство и реализацию товаров (работ, услуг), которые ориентированы на лиц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, указанных в подпункте «а»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      </w:r>
          </w:p>
          <w:p w:rsidR="00D75ED7" w:rsidRPr="00D75ED7" w:rsidRDefault="00D75ED7" w:rsidP="00D75ED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r w:rsidRPr="00D7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СМСП осуществляет деятельность, направленную на </w:t>
            </w:r>
            <w:r w:rsidRPr="00D75ED7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общественно полезных целей, способствующих решению социальных проблем граждан и общества в целом</w:t>
            </w:r>
            <w:r w:rsidRPr="00D7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D75E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в одной или нескольких из следующих сфер: </w:t>
            </w:r>
          </w:p>
          <w:p w:rsidR="00D75ED7" w:rsidRPr="00D75ED7" w:rsidRDefault="00D75ED7" w:rsidP="00D75E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D75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социальных услуг в соответствии с Федеральным законом от 28 </w:t>
            </w:r>
            <w:r w:rsidRPr="00D75E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декабря 2013 г. № 442-ФЗ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D75E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5ED7" w:rsidRPr="00D75ED7" w:rsidRDefault="00D75ED7" w:rsidP="00D7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сфере здравоохранения, социального туризма, физической культуры и массового спорта;</w:t>
            </w:r>
          </w:p>
          <w:p w:rsidR="00D75ED7" w:rsidRPr="00D75ED7" w:rsidRDefault="00D75ED7" w:rsidP="00D7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образования;</w:t>
            </w:r>
          </w:p>
          <w:p w:rsidR="00D75ED7" w:rsidRPr="00D75ED7" w:rsidRDefault="00D75ED7" w:rsidP="00D7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      </w:r>
          </w:p>
          <w:p w:rsidR="00D75ED7" w:rsidRPr="00D75ED7" w:rsidRDefault="00D75ED7" w:rsidP="00D7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периодических печатных изданий, а также книжной продукции, связанных с образованием, наукой и культурой и включенных в </w:t>
            </w:r>
            <w:hyperlink r:id="rId5" w:history="1">
              <w:r w:rsidRPr="00D75ED7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D75ED7">
              <w:rPr>
                <w:rFonts w:ascii="Times New Roman" w:hAnsi="Times New Roman" w:cs="Times New Roman"/>
                <w:sz w:val="24"/>
                <w:szCs w:val="24"/>
              </w:rPr>
              <w:t xml:space="preserve"> видов периодических печатных изданий и книжной продукции, связанной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образованием, наукой и культурой, облагаемых при их реализации налогом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br/>
              <w:t>на добавленную стоимость по ставке 10 %, утвержденный постановлением Правительства Российской Федерации от 23 января 2003 г. № 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ED7" w:rsidRPr="00D75ED7" w:rsidRDefault="00D75ED7" w:rsidP="00D75E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75ED7">
              <w:rPr>
                <w:rFonts w:ascii="Times New Roman" w:hAnsi="Times New Roman" w:cs="Times New Roman"/>
                <w:sz w:val="24"/>
                <w:szCs w:val="24"/>
              </w:rPr>
              <w:t>содействие охране окружающей среды и экологической безопасности.</w:t>
            </w:r>
          </w:p>
          <w:p w:rsidR="006F4A43" w:rsidRPr="00D75ED7" w:rsidRDefault="006F4A43" w:rsidP="00D75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43" w:rsidRPr="00811C38" w:rsidTr="00267D37">
        <w:tc>
          <w:tcPr>
            <w:tcW w:w="2235" w:type="dxa"/>
          </w:tcPr>
          <w:p w:rsidR="006F4A43" w:rsidRPr="00337719" w:rsidRDefault="00337719" w:rsidP="009471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</w:t>
            </w:r>
          </w:p>
        </w:tc>
        <w:tc>
          <w:tcPr>
            <w:tcW w:w="4394" w:type="dxa"/>
          </w:tcPr>
          <w:p w:rsidR="006F4A43" w:rsidRDefault="00337719" w:rsidP="009471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337719">
              <w:rPr>
                <w:rFonts w:ascii="Times New Roman" w:hAnsi="Times New Roman" w:cs="Times New Roman"/>
                <w:sz w:val="24"/>
                <w:szCs w:val="24"/>
              </w:rPr>
              <w:t>первый транш в размере не более 5 %</w:t>
            </w:r>
            <w:r w:rsidRPr="00337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размера субсидии предоставляется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СМСП</w:t>
            </w:r>
            <w:r w:rsidRPr="0033771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победителю конкурса – после защиты бизнес-плана проекта и заключения соглашения по обеспечению функционирования центра времяпрепровождения детей в течение не менее 3 лет с момента получения субсидии на создание центра времяпрепровождения детей</w:t>
            </w:r>
          </w:p>
          <w:p w:rsidR="00337719" w:rsidRPr="00337719" w:rsidRDefault="00337719" w:rsidP="003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второй транш в размере не более 45 </w:t>
            </w:r>
            <w:r w:rsidRPr="00337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  <w:r w:rsidRPr="00337719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субсидии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</w:t>
            </w:r>
            <w:r w:rsidRPr="00337719">
              <w:rPr>
                <w:rFonts w:ascii="Times New Roman" w:hAnsi="Times New Roman" w:cs="Times New Roman"/>
                <w:sz w:val="24"/>
                <w:szCs w:val="24"/>
              </w:rPr>
              <w:t>при предоставлении одного или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719">
              <w:rPr>
                <w:rFonts w:ascii="Times New Roman" w:hAnsi="Times New Roman" w:cs="Times New Roman"/>
                <w:sz w:val="24"/>
                <w:szCs w:val="24"/>
              </w:rPr>
              <w:t>документов, подтверждающих понесенные затраты (копии договора аренды помещения, копии документов, подтверждающих право собственности на помещения, копии документов, подтверждающих право на использование нежилого помещения, копии проектно-сметной документации на ремонт (реконструкцию) помещения, договора (договоров) на покупку оборудования), в том числе на подготовку помещения для центра времяпрепровождения детей;</w:t>
            </w:r>
          </w:p>
          <w:p w:rsidR="00337719" w:rsidRDefault="00337719" w:rsidP="003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7719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транш в размере оставшейся части суммы</w:t>
            </w:r>
            <w:r w:rsidRPr="0033771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</w:t>
            </w:r>
            <w:r w:rsidRPr="00337719">
              <w:rPr>
                <w:rFonts w:ascii="Times New Roman" w:hAnsi="Times New Roman" w:cs="Times New Roman"/>
                <w:sz w:val="24"/>
                <w:szCs w:val="24"/>
              </w:rPr>
              <w:t>при предоставлении документов (в свободной форме), подтверждающих соответствие помещения санитарно-эпидемиологическим требованиям, нормам пожарной безопасности, а также начало деятельности центра времяпрепровождения детей.</w:t>
            </w:r>
          </w:p>
          <w:p w:rsidR="00AC44D0" w:rsidRPr="00337719" w:rsidRDefault="00AC44D0" w:rsidP="00337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единовременно в полном объеме </w:t>
            </w:r>
            <w:r w:rsidRPr="00AC44D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одновременно всех условий,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выше.</w:t>
            </w:r>
          </w:p>
          <w:p w:rsidR="00337719" w:rsidRPr="00337719" w:rsidRDefault="00337719" w:rsidP="009471F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E701D9" w:rsidRPr="00E701D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701D9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транш в размере не более 10 %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субсидии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 – победителю конкурса – после защиты бизнес-плана проекта и заключения соглашения по обеспечению функционирования дошкольного образовательного центра в течение не менее 3 лет с момента получения субсидии на создание дошкольного образовательного центра;</w:t>
            </w:r>
          </w:p>
          <w:p w:rsidR="00E701D9" w:rsidRPr="00E701D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второй транш в размере не более 75 </w:t>
            </w:r>
            <w:r w:rsidRPr="00E701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%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 от размера субсидии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получателем поддержки документов, подтверждающих понесенные затраты, указанные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пункте «Финансирование предоставляется на цели»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1D9" w:rsidRPr="00E701D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701D9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транш в размере оставшейся части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 суммы субсидии федерального бюджета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 при соответствии помещения санитарно-эпидемиологическим требованиям, нормам пожарной безопасности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br/>
              <w:t>и подтверждении начала деятельности дошкольного образовательного центра (лицензия).</w:t>
            </w:r>
          </w:p>
          <w:p w:rsidR="00E701D9" w:rsidRPr="0033771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единовременно в полном объеме </w:t>
            </w:r>
            <w:r w:rsidRPr="00AC44D0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одновременно всех условий,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выше.</w:t>
            </w:r>
          </w:p>
          <w:p w:rsidR="006F4A43" w:rsidRPr="00AC44D0" w:rsidRDefault="006F4A43" w:rsidP="00AC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4A43" w:rsidRPr="00D75ED7" w:rsidRDefault="00D75ED7" w:rsidP="00D7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AC44D0">
              <w:rPr>
                <w:rFonts w:ascii="Times New Roman" w:hAnsi="Times New Roman" w:cs="Times New Roman"/>
                <w:b/>
                <w:sz w:val="24"/>
                <w:szCs w:val="24"/>
              </w:rPr>
              <w:t>единовременно в полном объеме</w:t>
            </w:r>
          </w:p>
        </w:tc>
      </w:tr>
      <w:tr w:rsidR="006F4A43" w:rsidRPr="00811C38" w:rsidTr="00267D37">
        <w:tc>
          <w:tcPr>
            <w:tcW w:w="2235" w:type="dxa"/>
          </w:tcPr>
          <w:p w:rsidR="006F4A43" w:rsidRPr="00E701D9" w:rsidRDefault="009011B1" w:rsidP="000558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</w:t>
            </w:r>
            <w:r w:rsidR="00E701D9"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на следующие цели</w:t>
            </w:r>
          </w:p>
        </w:tc>
        <w:tc>
          <w:tcPr>
            <w:tcW w:w="4394" w:type="dxa"/>
          </w:tcPr>
          <w:p w:rsidR="006F4A43" w:rsidRPr="00E701D9" w:rsidRDefault="00E701D9" w:rsidP="000558A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01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финансирование обоснованных и документально подтвержденных затрат (оплата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покупка </w:t>
            </w:r>
            <w:r w:rsidRPr="00E701D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оборудования, необходимого для обеспечения соответствия помещений центра времяпрепровождения детей требованиям, предусмотренным законодательством Российской Федерации и иными нормативными правовыми актами, необходимым для организации работы центра времяпрепровождения детей).</w:t>
            </w:r>
          </w:p>
        </w:tc>
        <w:tc>
          <w:tcPr>
            <w:tcW w:w="4394" w:type="dxa"/>
          </w:tcPr>
          <w:p w:rsidR="00E701D9" w:rsidRPr="00E701D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оплата аренды и (или) выкупа помещения, ремонт (реконструкция) помещения, покупка оборудования, мебели, материалов, инвентаря, оплата коммунальных услуг, услуг электроснабжения, покупка оборудования, необходимого для обеспечения соответствия помещений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образовательного центра требованиям, предусмотренным законодательством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01D9" w:rsidRPr="00E701D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зданий, строений, сооружений, помещений и территорий (включая оборудованные учебные кабинеты, объекты для проведения практических занятий, объекты физической культуры и спорта, объекты питания и медицинского обслуживания), необходимых для осуществления образовательной деятельности по заявленным к лицензированию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и реализуемым в соответствии с лицензией образовательным программам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br/>
              <w:t>по уходу и присмотру за детьми и соответствующим требованиям, установленным законодательством об образовании;</w:t>
            </w:r>
          </w:p>
          <w:p w:rsidR="00E701D9" w:rsidRPr="00E701D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- выплата процентов по кредитам, выданным на осуществление мероприятий, указанных в настоящем пункте, из расчета не более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трех четвертых ключевой ставки Банка России от выплаченных процентов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br/>
              <w:t>по кредитам (займам), но не более 70 % от фактически произведенных затрат;</w:t>
            </w:r>
          </w:p>
          <w:p w:rsidR="00E701D9" w:rsidRPr="00E701D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учебно-методической документации по реализуемым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лицензией образовательным программам, соответствующей требованиям, установленным законодательством об образовании;</w:t>
            </w:r>
          </w:p>
          <w:p w:rsidR="00E701D9" w:rsidRPr="00E701D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- закупка учебной, учебно-методической литературы и иных библиотечно-информационных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и средств обеспечения образовательного процесса по реализуемым в соответствии с лицензией образовательным программам, соответствующим требованиям, установленным законодательством об образовании;</w:t>
            </w:r>
          </w:p>
          <w:p w:rsidR="00E701D9" w:rsidRPr="00E701D9" w:rsidRDefault="00E701D9" w:rsidP="00E701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1D9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и повышение квалификации педагогических и иных работников для осуществления образовательной деятельности по реализуемым </w:t>
            </w:r>
            <w:r w:rsidRPr="00E701D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лицензией образовательным программам, соответствующим требованиям, установленным законодательством об образовании.</w:t>
            </w:r>
          </w:p>
          <w:p w:rsidR="006F4A43" w:rsidRPr="000558A2" w:rsidRDefault="006F4A43" w:rsidP="0002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6399E" w:rsidRPr="00E6399E" w:rsidRDefault="00E6399E" w:rsidP="00E6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финансирование обоснованных и документально подтвержденных затрат, связанных с осуществлением деятельности в сфере соц.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9E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предпринимательства:</w:t>
            </w:r>
          </w:p>
          <w:p w:rsidR="009011B1" w:rsidRDefault="009011B1" w:rsidP="00E6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аренды помещения, включая коммунальные платежи;</w:t>
            </w:r>
          </w:p>
          <w:p w:rsidR="009011B1" w:rsidRDefault="009011B1" w:rsidP="00E6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коммунальных платежей;</w:t>
            </w:r>
          </w:p>
          <w:p w:rsidR="006F4A43" w:rsidRDefault="009011B1" w:rsidP="00E6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E6399E" w:rsidRDefault="009011B1" w:rsidP="00E6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возмещение затрат по</w:t>
            </w:r>
            <w:r w:rsidR="00E6399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приобретению основных средств;</w:t>
            </w:r>
          </w:p>
          <w:p w:rsidR="00E6399E" w:rsidRDefault="00E6399E" w:rsidP="00E6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сырье и вспомогательные материалы (спецодежда, тара, упаковка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="00901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1B1" w:rsidRDefault="00E6399E" w:rsidP="00E6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мебель, инвентарь;</w:t>
            </w:r>
          </w:p>
          <w:p w:rsidR="009011B1" w:rsidRDefault="009011B1" w:rsidP="00E63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9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F69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затрат по приобретению </w:t>
            </w:r>
            <w:proofErr w:type="spellStart"/>
            <w:r w:rsidR="00857F69">
              <w:rPr>
                <w:rFonts w:ascii="Times New Roman" w:hAnsi="Times New Roman" w:cs="Times New Roman"/>
                <w:sz w:val="24"/>
                <w:szCs w:val="24"/>
              </w:rPr>
              <w:t>спец.одежды</w:t>
            </w:r>
            <w:proofErr w:type="spellEnd"/>
            <w:r w:rsidR="00857F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F69" w:rsidRPr="000558A2" w:rsidRDefault="00857F69" w:rsidP="00901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C38" w:rsidRDefault="00811C38" w:rsidP="000215D9">
      <w:pPr>
        <w:spacing w:after="0" w:line="240" w:lineRule="auto"/>
      </w:pPr>
    </w:p>
    <w:sectPr w:rsidR="00811C38" w:rsidSect="00267D37">
      <w:pgSz w:w="16838" w:h="11906" w:orient="landscape"/>
      <w:pgMar w:top="567" w:right="2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8"/>
    <w:rsid w:val="000215D9"/>
    <w:rsid w:val="000558A2"/>
    <w:rsid w:val="00100177"/>
    <w:rsid w:val="00143277"/>
    <w:rsid w:val="00172ED3"/>
    <w:rsid w:val="00191990"/>
    <w:rsid w:val="001954D9"/>
    <w:rsid w:val="00216689"/>
    <w:rsid w:val="00235879"/>
    <w:rsid w:val="00267D37"/>
    <w:rsid w:val="0028414F"/>
    <w:rsid w:val="002D727A"/>
    <w:rsid w:val="00321975"/>
    <w:rsid w:val="003233BC"/>
    <w:rsid w:val="00337719"/>
    <w:rsid w:val="004E76A1"/>
    <w:rsid w:val="005A0390"/>
    <w:rsid w:val="006677CB"/>
    <w:rsid w:val="006D14DA"/>
    <w:rsid w:val="006F46F3"/>
    <w:rsid w:val="006F4A43"/>
    <w:rsid w:val="00752BE3"/>
    <w:rsid w:val="00765B7C"/>
    <w:rsid w:val="00794EBB"/>
    <w:rsid w:val="00811C38"/>
    <w:rsid w:val="00844D2D"/>
    <w:rsid w:val="00857F69"/>
    <w:rsid w:val="009011B1"/>
    <w:rsid w:val="0093389A"/>
    <w:rsid w:val="009471F3"/>
    <w:rsid w:val="0097259C"/>
    <w:rsid w:val="00994237"/>
    <w:rsid w:val="009A5B13"/>
    <w:rsid w:val="00A571A2"/>
    <w:rsid w:val="00A75A43"/>
    <w:rsid w:val="00AC44D0"/>
    <w:rsid w:val="00AD0703"/>
    <w:rsid w:val="00B656E8"/>
    <w:rsid w:val="00B6664B"/>
    <w:rsid w:val="00B853D5"/>
    <w:rsid w:val="00BA0829"/>
    <w:rsid w:val="00BE09B4"/>
    <w:rsid w:val="00BF3F1E"/>
    <w:rsid w:val="00C03A3F"/>
    <w:rsid w:val="00C5509E"/>
    <w:rsid w:val="00C60F6E"/>
    <w:rsid w:val="00C91BED"/>
    <w:rsid w:val="00CA3ACA"/>
    <w:rsid w:val="00CC2D1A"/>
    <w:rsid w:val="00D75ED7"/>
    <w:rsid w:val="00D8190C"/>
    <w:rsid w:val="00DB6739"/>
    <w:rsid w:val="00DC679E"/>
    <w:rsid w:val="00E6399E"/>
    <w:rsid w:val="00E701D9"/>
    <w:rsid w:val="00F155EC"/>
    <w:rsid w:val="00F21ACB"/>
    <w:rsid w:val="00F5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70CC2-7070-4D13-A68F-19ACDB1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50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9471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471F3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1DC3780780F076FFFBE17190CB68E2972ECC8AAAE9F00B065421FFE29AC925124193978CF7C06948380EA788708B1E604BB732D4AB9228E8RF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23BE-19FF-4977-8E4D-6E3FF6F6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User</cp:lastModifiedBy>
  <cp:revision>4</cp:revision>
  <cp:lastPrinted>2019-10-23T12:08:00Z</cp:lastPrinted>
  <dcterms:created xsi:type="dcterms:W3CDTF">2019-04-01T12:07:00Z</dcterms:created>
  <dcterms:modified xsi:type="dcterms:W3CDTF">2019-10-23T12:18:00Z</dcterms:modified>
</cp:coreProperties>
</file>